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（2021年第</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期1年）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ascii="微软雅黑" w:hAnsi="微软雅黑" w:eastAsia="微软雅黑" w:cs="微软雅黑"/>
                <w:i w:val="0"/>
                <w:caps w:val="0"/>
                <w:color w:val="555555"/>
                <w:spacing w:val="0"/>
                <w:sz w:val="24"/>
                <w:szCs w:val="24"/>
                <w:shd w:val="clear" w:fill="FAFAFA"/>
              </w:rPr>
              <w:t>210508001501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:00 - 2021年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2.3</w:t>
            </w:r>
            <w:r>
              <w:rPr>
                <w:rFonts w:hint="eastAsia" w:ascii="微软雅黑" w:hAnsi="微软雅黑" w:eastAsia="微软雅黑" w:cs="微软雅黑"/>
                <w:color w:val="000000"/>
                <w:lang w:val="en-US" w:eastAsia="zh-CN"/>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bookmarkStart w:id="0" w:name="_GoBack"/>
            <w:bookmarkEnd w:id="0"/>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承德银行股份有限公司</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308E26E0"/>
    <w:rsid w:val="64C7062F"/>
    <w:rsid w:val="6DE76232"/>
    <w:rsid w:val="75386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9</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2021-05-10T01:02:08Z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